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4CAE27">
      <w:pPr>
        <w:spacing w:afterLines="50" w:line="6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湘潭新闻奖参评作品推荐表</w:t>
      </w:r>
    </w:p>
    <w:tbl>
      <w:tblPr>
        <w:tblStyle w:val="4"/>
        <w:tblW w:w="99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5"/>
        <w:gridCol w:w="1132"/>
        <w:gridCol w:w="1302"/>
        <w:gridCol w:w="278"/>
        <w:gridCol w:w="577"/>
        <w:gridCol w:w="560"/>
        <w:gridCol w:w="796"/>
        <w:gridCol w:w="3600"/>
      </w:tblGrid>
      <w:tr w14:paraId="2959F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1695" w:type="dxa"/>
            <w:vMerge w:val="restart"/>
            <w:tcBorders>
              <w:top w:val="single" w:color="auto" w:sz="4" w:space="0"/>
              <w:left w:val="single" w:color="auto" w:sz="4" w:space="0"/>
              <w:bottom w:val="single" w:color="auto" w:sz="4" w:space="0"/>
              <w:right w:val="single" w:color="auto" w:sz="4" w:space="0"/>
            </w:tcBorders>
            <w:vAlign w:val="center"/>
          </w:tcPr>
          <w:p w14:paraId="1EA440C5">
            <w:pPr>
              <w:spacing w:line="38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作品标题</w:t>
            </w:r>
          </w:p>
        </w:tc>
        <w:tc>
          <w:tcPr>
            <w:tcW w:w="3289" w:type="dxa"/>
            <w:gridSpan w:val="4"/>
            <w:vMerge w:val="restart"/>
            <w:tcBorders>
              <w:top w:val="single" w:color="auto" w:sz="4" w:space="0"/>
              <w:left w:val="single" w:color="auto" w:sz="4" w:space="0"/>
              <w:bottom w:val="single" w:color="auto" w:sz="4" w:space="0"/>
              <w:right w:val="single" w:color="auto" w:sz="4" w:space="0"/>
            </w:tcBorders>
            <w:vAlign w:val="center"/>
          </w:tcPr>
          <w:p w14:paraId="1E9C2B7E">
            <w:pPr>
              <w:spacing w:line="260" w:lineRule="exact"/>
              <w:jc w:val="center"/>
              <w:rPr>
                <w:rFonts w:ascii="华文中宋" w:hAnsi="华文中宋" w:eastAsia="华文中宋"/>
                <w:color w:val="000000"/>
                <w:sz w:val="28"/>
                <w:szCs w:val="28"/>
              </w:rPr>
            </w:pPr>
            <w:r>
              <w:rPr>
                <w:rFonts w:hint="eastAsia" w:ascii="仿宋_GB2312" w:eastAsia="仿宋_GB2312" w:cs="仿宋_GB2312"/>
                <w:color w:val="000000"/>
                <w:szCs w:val="21"/>
              </w:rPr>
              <w:t>芒种时节插秧忙 韶山民间调《七律.到韶山》在毛主席耕种过的稻田上空回响</w:t>
            </w: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26DE1B50">
            <w:pPr>
              <w:spacing w:line="38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参评项目</w:t>
            </w:r>
          </w:p>
        </w:tc>
        <w:tc>
          <w:tcPr>
            <w:tcW w:w="3600" w:type="dxa"/>
            <w:tcBorders>
              <w:top w:val="single" w:color="auto" w:sz="4" w:space="0"/>
              <w:left w:val="single" w:color="auto" w:sz="4" w:space="0"/>
              <w:bottom w:val="single" w:color="auto" w:sz="4" w:space="0"/>
              <w:right w:val="single" w:color="auto" w:sz="4" w:space="0"/>
            </w:tcBorders>
            <w:vAlign w:val="center"/>
          </w:tcPr>
          <w:p w14:paraId="31D85CC9">
            <w:pPr>
              <w:spacing w:line="260" w:lineRule="exact"/>
              <w:jc w:val="center"/>
              <w:rPr>
                <w:rFonts w:ascii="仿宋" w:hAnsi="仿宋" w:eastAsia="仿宋" w:cs="仿宋"/>
                <w:color w:val="000000"/>
                <w:sz w:val="24"/>
              </w:rPr>
            </w:pPr>
            <w:r>
              <w:rPr>
                <w:rFonts w:hint="eastAsia" w:ascii="仿宋_GB2312" w:eastAsia="仿宋_GB2312" w:cs="仿宋_GB2312"/>
                <w:color w:val="000000"/>
                <w:szCs w:val="21"/>
              </w:rPr>
              <w:t>消息</w:t>
            </w:r>
          </w:p>
        </w:tc>
      </w:tr>
      <w:tr w14:paraId="7CD0D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14:paraId="3FD4ED6A">
            <w:pPr>
              <w:jc w:val="center"/>
              <w:rPr>
                <w:sz w:val="20"/>
                <w:szCs w:val="20"/>
              </w:rPr>
            </w:pPr>
          </w:p>
        </w:tc>
        <w:tc>
          <w:tcPr>
            <w:tcW w:w="3289" w:type="dxa"/>
            <w:gridSpan w:val="4"/>
            <w:vMerge w:val="continue"/>
            <w:tcBorders>
              <w:top w:val="single" w:color="auto" w:sz="4" w:space="0"/>
              <w:left w:val="single" w:color="auto" w:sz="4" w:space="0"/>
              <w:bottom w:val="single" w:color="auto" w:sz="4" w:space="0"/>
              <w:right w:val="single" w:color="auto" w:sz="4" w:space="0"/>
            </w:tcBorders>
            <w:vAlign w:val="center"/>
          </w:tcPr>
          <w:p w14:paraId="5DCBBD5A">
            <w:pPr>
              <w:jc w:val="center"/>
              <w:rPr>
                <w:sz w:val="20"/>
                <w:szCs w:val="20"/>
              </w:rPr>
            </w:pP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3EEF1BCF">
            <w:pPr>
              <w:spacing w:line="38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体裁</w:t>
            </w:r>
          </w:p>
        </w:tc>
        <w:tc>
          <w:tcPr>
            <w:tcW w:w="3600" w:type="dxa"/>
            <w:tcBorders>
              <w:top w:val="single" w:color="auto" w:sz="4" w:space="0"/>
              <w:left w:val="single" w:color="auto" w:sz="4" w:space="0"/>
              <w:bottom w:val="single" w:color="auto" w:sz="4" w:space="0"/>
              <w:right w:val="single" w:color="auto" w:sz="4" w:space="0"/>
            </w:tcBorders>
            <w:vAlign w:val="center"/>
          </w:tcPr>
          <w:p w14:paraId="0686E685">
            <w:pPr>
              <w:spacing w:line="260" w:lineRule="exact"/>
              <w:jc w:val="center"/>
              <w:rPr>
                <w:rFonts w:ascii="仿宋_GB2312" w:hAnsi="仿宋" w:eastAsia="仿宋_GB2312"/>
                <w:color w:val="000000"/>
                <w:sz w:val="28"/>
                <w:szCs w:val="28"/>
              </w:rPr>
            </w:pPr>
            <w:r>
              <w:rPr>
                <w:rFonts w:hint="eastAsia" w:ascii="仿宋_GB2312" w:eastAsia="仿宋_GB2312" w:cs="仿宋_GB2312"/>
                <w:color w:val="000000"/>
                <w:szCs w:val="21"/>
              </w:rPr>
              <w:t>新媒体消息</w:t>
            </w:r>
          </w:p>
        </w:tc>
      </w:tr>
      <w:tr w14:paraId="027B5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14:paraId="39F22D5F">
            <w:pPr>
              <w:jc w:val="center"/>
              <w:rPr>
                <w:sz w:val="20"/>
                <w:szCs w:val="20"/>
              </w:rPr>
            </w:pPr>
          </w:p>
        </w:tc>
        <w:tc>
          <w:tcPr>
            <w:tcW w:w="3289" w:type="dxa"/>
            <w:gridSpan w:val="4"/>
            <w:vMerge w:val="continue"/>
            <w:tcBorders>
              <w:top w:val="single" w:color="auto" w:sz="4" w:space="0"/>
              <w:left w:val="single" w:color="auto" w:sz="4" w:space="0"/>
              <w:bottom w:val="single" w:color="auto" w:sz="4" w:space="0"/>
              <w:right w:val="single" w:color="auto" w:sz="4" w:space="0"/>
            </w:tcBorders>
            <w:vAlign w:val="center"/>
          </w:tcPr>
          <w:p w14:paraId="201C990E">
            <w:pPr>
              <w:jc w:val="center"/>
              <w:rPr>
                <w:sz w:val="20"/>
                <w:szCs w:val="20"/>
              </w:rPr>
            </w:pP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3C45D7EE">
            <w:pPr>
              <w:spacing w:line="38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语种</w:t>
            </w:r>
          </w:p>
        </w:tc>
        <w:tc>
          <w:tcPr>
            <w:tcW w:w="3600" w:type="dxa"/>
            <w:tcBorders>
              <w:top w:val="single" w:color="auto" w:sz="4" w:space="0"/>
              <w:left w:val="single" w:color="auto" w:sz="4" w:space="0"/>
              <w:bottom w:val="single" w:color="auto" w:sz="4" w:space="0"/>
              <w:right w:val="single" w:color="auto" w:sz="4" w:space="0"/>
            </w:tcBorders>
            <w:vAlign w:val="center"/>
          </w:tcPr>
          <w:p w14:paraId="36AD8872">
            <w:pPr>
              <w:spacing w:line="240" w:lineRule="atLeast"/>
              <w:jc w:val="center"/>
              <w:rPr>
                <w:rFonts w:ascii="仿宋_GB2312" w:eastAsia="仿宋_GB2312"/>
                <w:color w:val="000000"/>
                <w:sz w:val="28"/>
                <w:szCs w:val="28"/>
              </w:rPr>
            </w:pPr>
            <w:r>
              <w:rPr>
                <w:rFonts w:hint="eastAsia" w:ascii="仿宋_GB2312" w:eastAsia="仿宋_GB2312" w:cs="仿宋_GB2312"/>
                <w:color w:val="000000"/>
                <w:szCs w:val="21"/>
              </w:rPr>
              <w:t>中文</w:t>
            </w:r>
          </w:p>
        </w:tc>
      </w:tr>
      <w:tr w14:paraId="15F01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1695" w:type="dxa"/>
            <w:tcBorders>
              <w:top w:val="single" w:color="auto" w:sz="4" w:space="0"/>
              <w:left w:val="single" w:color="auto" w:sz="4" w:space="0"/>
              <w:bottom w:val="single" w:color="auto" w:sz="4" w:space="0"/>
              <w:right w:val="single" w:color="auto" w:sz="4" w:space="0"/>
            </w:tcBorders>
            <w:vAlign w:val="center"/>
          </w:tcPr>
          <w:p w14:paraId="039A60E9">
            <w:pPr>
              <w:spacing w:line="32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作 者</w:t>
            </w:r>
          </w:p>
          <w:p w14:paraId="075C4DF1">
            <w:pPr>
              <w:spacing w:line="320" w:lineRule="exact"/>
              <w:jc w:val="center"/>
              <w:rPr>
                <w:rFonts w:ascii="华文中宋" w:hAnsi="华文中宋" w:eastAsia="华文中宋"/>
                <w:color w:val="000000"/>
                <w:sz w:val="24"/>
              </w:rPr>
            </w:pPr>
            <w:r>
              <w:rPr>
                <w:rFonts w:hint="eastAsia" w:ascii="华文中宋" w:hAnsi="华文中宋" w:eastAsia="华文中宋" w:cs="华文中宋"/>
                <w:color w:val="000000"/>
                <w:sz w:val="24"/>
              </w:rPr>
              <w:t>（主创人员）</w:t>
            </w:r>
          </w:p>
        </w:tc>
        <w:tc>
          <w:tcPr>
            <w:tcW w:w="2434" w:type="dxa"/>
            <w:gridSpan w:val="2"/>
            <w:tcBorders>
              <w:top w:val="single" w:color="auto" w:sz="4" w:space="0"/>
              <w:left w:val="single" w:color="auto" w:sz="4" w:space="0"/>
              <w:bottom w:val="single" w:color="auto" w:sz="4" w:space="0"/>
              <w:right w:val="single" w:color="auto" w:sz="4" w:space="0"/>
            </w:tcBorders>
            <w:vAlign w:val="center"/>
          </w:tcPr>
          <w:p w14:paraId="4DCEE12E">
            <w:pPr>
              <w:spacing w:line="260" w:lineRule="exact"/>
              <w:jc w:val="center"/>
              <w:rPr>
                <w:rFonts w:ascii="仿宋_GB2312" w:hAnsi="华文中宋" w:eastAsia="仿宋_GB2312"/>
                <w:color w:val="000000"/>
                <w:sz w:val="28"/>
                <w:szCs w:val="28"/>
              </w:rPr>
            </w:pPr>
            <w:r>
              <w:rPr>
                <w:rFonts w:hint="eastAsia" w:ascii="仿宋_GB2312" w:eastAsia="仿宋_GB2312" w:cs="仿宋_GB2312"/>
                <w:color w:val="000000"/>
                <w:szCs w:val="21"/>
              </w:rPr>
              <w:t>谢茂丰</w:t>
            </w:r>
          </w:p>
        </w:tc>
        <w:tc>
          <w:tcPr>
            <w:tcW w:w="855" w:type="dxa"/>
            <w:gridSpan w:val="2"/>
            <w:tcBorders>
              <w:top w:val="single" w:color="auto" w:sz="4" w:space="0"/>
              <w:left w:val="single" w:color="auto" w:sz="4" w:space="0"/>
              <w:bottom w:val="single" w:color="auto" w:sz="4" w:space="0"/>
              <w:right w:val="single" w:color="auto" w:sz="4" w:space="0"/>
            </w:tcBorders>
            <w:vAlign w:val="center"/>
          </w:tcPr>
          <w:p w14:paraId="43842EB8">
            <w:pPr>
              <w:spacing w:line="360" w:lineRule="auto"/>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编辑</w:t>
            </w:r>
          </w:p>
        </w:tc>
        <w:tc>
          <w:tcPr>
            <w:tcW w:w="4956" w:type="dxa"/>
            <w:gridSpan w:val="3"/>
            <w:tcBorders>
              <w:top w:val="single" w:color="auto" w:sz="4" w:space="0"/>
              <w:left w:val="single" w:color="auto" w:sz="4" w:space="0"/>
              <w:bottom w:val="single" w:color="auto" w:sz="4" w:space="0"/>
              <w:right w:val="single" w:color="auto" w:sz="4" w:space="0"/>
            </w:tcBorders>
            <w:vAlign w:val="center"/>
          </w:tcPr>
          <w:p w14:paraId="14C40AB6">
            <w:pPr>
              <w:spacing w:line="240" w:lineRule="exact"/>
              <w:jc w:val="center"/>
              <w:rPr>
                <w:rFonts w:ascii="仿宋" w:hAnsi="仿宋" w:eastAsia="仿宋"/>
                <w:color w:val="000000"/>
                <w:sz w:val="24"/>
              </w:rPr>
            </w:pPr>
            <w:r>
              <w:rPr>
                <w:rFonts w:hint="eastAsia" w:ascii="仿宋_GB2312" w:eastAsia="仿宋_GB2312" w:cs="仿宋_GB2312"/>
                <w:color w:val="000000"/>
                <w:szCs w:val="21"/>
              </w:rPr>
              <w:t>李霓 朱俊文 张继军</w:t>
            </w:r>
          </w:p>
        </w:tc>
      </w:tr>
      <w:tr w14:paraId="0CB8A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1695" w:type="dxa"/>
            <w:tcBorders>
              <w:top w:val="single" w:color="auto" w:sz="4" w:space="0"/>
              <w:left w:val="single" w:color="auto" w:sz="4" w:space="0"/>
              <w:bottom w:val="single" w:color="auto" w:sz="4" w:space="0"/>
              <w:right w:val="single" w:color="auto" w:sz="4" w:space="0"/>
            </w:tcBorders>
            <w:vAlign w:val="center"/>
          </w:tcPr>
          <w:p w14:paraId="7C4E89E5">
            <w:pPr>
              <w:spacing w:line="360" w:lineRule="auto"/>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原创单位</w:t>
            </w:r>
          </w:p>
        </w:tc>
        <w:tc>
          <w:tcPr>
            <w:tcW w:w="2434" w:type="dxa"/>
            <w:gridSpan w:val="2"/>
            <w:tcBorders>
              <w:top w:val="single" w:color="auto" w:sz="4" w:space="0"/>
              <w:left w:val="single" w:color="auto" w:sz="4" w:space="0"/>
              <w:bottom w:val="single" w:color="auto" w:sz="4" w:space="0"/>
              <w:right w:val="single" w:color="auto" w:sz="4" w:space="0"/>
            </w:tcBorders>
            <w:vAlign w:val="center"/>
          </w:tcPr>
          <w:p w14:paraId="48385B3E">
            <w:pPr>
              <w:spacing w:line="260" w:lineRule="exact"/>
              <w:jc w:val="center"/>
              <w:rPr>
                <w:rFonts w:ascii="仿宋_GB2312" w:hAnsi="仿宋" w:eastAsia="仿宋_GB2312"/>
                <w:color w:val="000000"/>
                <w:szCs w:val="21"/>
              </w:rPr>
            </w:pPr>
            <w:r>
              <w:rPr>
                <w:rFonts w:hint="eastAsia" w:ascii="仿宋_GB2312" w:eastAsia="仿宋_GB2312" w:cs="仿宋_GB2312"/>
                <w:color w:val="000000"/>
                <w:szCs w:val="21"/>
              </w:rPr>
              <w:t>韶山市融媒体中心</w:t>
            </w:r>
          </w:p>
        </w:tc>
        <w:tc>
          <w:tcPr>
            <w:tcW w:w="855" w:type="dxa"/>
            <w:gridSpan w:val="2"/>
            <w:tcBorders>
              <w:top w:val="single" w:color="auto" w:sz="4" w:space="0"/>
              <w:left w:val="single" w:color="auto" w:sz="4" w:space="0"/>
              <w:bottom w:val="single" w:color="auto" w:sz="4" w:space="0"/>
              <w:right w:val="single" w:color="auto" w:sz="4" w:space="0"/>
            </w:tcBorders>
            <w:vAlign w:val="center"/>
          </w:tcPr>
          <w:p w14:paraId="35C565BD">
            <w:pPr>
              <w:spacing w:line="40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刊播单位</w:t>
            </w:r>
          </w:p>
        </w:tc>
        <w:tc>
          <w:tcPr>
            <w:tcW w:w="4956" w:type="dxa"/>
            <w:gridSpan w:val="3"/>
            <w:tcBorders>
              <w:top w:val="single" w:color="auto" w:sz="4" w:space="0"/>
              <w:left w:val="single" w:color="auto" w:sz="4" w:space="0"/>
              <w:bottom w:val="single" w:color="auto" w:sz="4" w:space="0"/>
              <w:right w:val="single" w:color="auto" w:sz="4" w:space="0"/>
            </w:tcBorders>
            <w:vAlign w:val="center"/>
          </w:tcPr>
          <w:p w14:paraId="7D40C8FA">
            <w:pPr>
              <w:spacing w:line="320" w:lineRule="exact"/>
              <w:jc w:val="center"/>
              <w:rPr>
                <w:rFonts w:ascii="仿宋_GB2312" w:eastAsia="仿宋_GB2312" w:cs="仿宋_GB2312"/>
                <w:color w:val="000000"/>
                <w:szCs w:val="21"/>
              </w:rPr>
            </w:pPr>
            <w:r>
              <w:rPr>
                <w:rFonts w:hint="eastAsia" w:ascii="仿宋_GB2312" w:eastAsia="仿宋_GB2312" w:cs="仿宋_GB2312"/>
                <w:color w:val="000000"/>
                <w:szCs w:val="21"/>
              </w:rPr>
              <w:t>韶山市融媒体中心</w:t>
            </w:r>
          </w:p>
        </w:tc>
      </w:tr>
      <w:tr w14:paraId="7B9D2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1695" w:type="dxa"/>
            <w:tcBorders>
              <w:top w:val="single" w:color="auto" w:sz="4" w:space="0"/>
              <w:left w:val="single" w:color="auto" w:sz="4" w:space="0"/>
              <w:bottom w:val="single" w:color="auto" w:sz="4" w:space="0"/>
              <w:right w:val="single" w:color="auto" w:sz="4" w:space="0"/>
            </w:tcBorders>
            <w:vAlign w:val="center"/>
          </w:tcPr>
          <w:p w14:paraId="505CEFE9">
            <w:pPr>
              <w:spacing w:line="44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刊播版面(</w:t>
            </w:r>
            <w:r>
              <w:rPr>
                <w:rFonts w:hint="eastAsia" w:ascii="华文中宋" w:hAnsi="华文中宋" w:eastAsia="华文中宋" w:cs="华文中宋"/>
                <w:color w:val="000000"/>
                <w:sz w:val="24"/>
              </w:rPr>
              <w:t>名称和版次)</w:t>
            </w:r>
          </w:p>
        </w:tc>
        <w:tc>
          <w:tcPr>
            <w:tcW w:w="2434" w:type="dxa"/>
            <w:gridSpan w:val="2"/>
            <w:tcBorders>
              <w:top w:val="single" w:color="auto" w:sz="4" w:space="0"/>
              <w:left w:val="single" w:color="auto" w:sz="4" w:space="0"/>
              <w:bottom w:val="single" w:color="auto" w:sz="4" w:space="0"/>
              <w:right w:val="single" w:color="auto" w:sz="4" w:space="0"/>
            </w:tcBorders>
            <w:vAlign w:val="center"/>
          </w:tcPr>
          <w:p w14:paraId="6CF249DB">
            <w:pPr>
              <w:spacing w:line="220" w:lineRule="exact"/>
              <w:jc w:val="center"/>
              <w:rPr>
                <w:rFonts w:ascii="仿宋_GB2312" w:hAnsi="仿宋" w:eastAsia="仿宋_GB2312"/>
                <w:color w:val="000000"/>
                <w:szCs w:val="21"/>
              </w:rPr>
            </w:pPr>
            <w:r>
              <w:rPr>
                <w:rFonts w:hint="eastAsia" w:ascii="仿宋_GB2312" w:hAnsi="仿宋" w:eastAsia="仿宋_GB2312" w:cs="仿宋_GB2312"/>
                <w:color w:val="000000"/>
                <w:szCs w:val="21"/>
              </w:rPr>
              <w:t>韶山融媒视频号、抖音号</w:t>
            </w:r>
          </w:p>
        </w:tc>
        <w:tc>
          <w:tcPr>
            <w:tcW w:w="855" w:type="dxa"/>
            <w:gridSpan w:val="2"/>
            <w:tcBorders>
              <w:top w:val="single" w:color="auto" w:sz="4" w:space="0"/>
              <w:left w:val="single" w:color="auto" w:sz="4" w:space="0"/>
              <w:bottom w:val="single" w:color="auto" w:sz="4" w:space="0"/>
              <w:right w:val="single" w:color="auto" w:sz="4" w:space="0"/>
            </w:tcBorders>
            <w:vAlign w:val="center"/>
          </w:tcPr>
          <w:p w14:paraId="41264A15">
            <w:pPr>
              <w:spacing w:line="40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刊播日期</w:t>
            </w:r>
          </w:p>
        </w:tc>
        <w:tc>
          <w:tcPr>
            <w:tcW w:w="4956" w:type="dxa"/>
            <w:gridSpan w:val="3"/>
            <w:tcBorders>
              <w:top w:val="single" w:color="auto" w:sz="4" w:space="0"/>
              <w:left w:val="single" w:color="auto" w:sz="4" w:space="0"/>
              <w:bottom w:val="single" w:color="auto" w:sz="4" w:space="0"/>
              <w:right w:val="single" w:color="auto" w:sz="4" w:space="0"/>
            </w:tcBorders>
            <w:vAlign w:val="center"/>
          </w:tcPr>
          <w:p w14:paraId="6DD67F18">
            <w:pPr>
              <w:spacing w:line="260" w:lineRule="exact"/>
              <w:jc w:val="center"/>
              <w:rPr>
                <w:rFonts w:ascii="仿宋_GB2312" w:hAnsi="仿宋" w:eastAsia="仿宋_GB2312"/>
                <w:color w:val="000000"/>
                <w:sz w:val="24"/>
              </w:rPr>
            </w:pPr>
            <w:r>
              <w:rPr>
                <w:rFonts w:hint="eastAsia" w:ascii="仿宋_GB2312" w:eastAsia="仿宋_GB2312" w:cs="仿宋_GB2312"/>
                <w:color w:val="000000"/>
                <w:szCs w:val="21"/>
              </w:rPr>
              <w:t>2024年6月12日</w:t>
            </w:r>
          </w:p>
        </w:tc>
      </w:tr>
      <w:tr w14:paraId="79109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2827" w:type="dxa"/>
            <w:gridSpan w:val="2"/>
            <w:tcBorders>
              <w:top w:val="single" w:color="auto" w:sz="4" w:space="0"/>
              <w:left w:val="single" w:color="auto" w:sz="4" w:space="0"/>
              <w:bottom w:val="single" w:color="auto" w:sz="4" w:space="0"/>
              <w:right w:val="single" w:color="auto" w:sz="4" w:space="0"/>
            </w:tcBorders>
            <w:vAlign w:val="center"/>
          </w:tcPr>
          <w:p w14:paraId="248C9077">
            <w:pPr>
              <w:spacing w:line="340" w:lineRule="exact"/>
              <w:jc w:val="center"/>
              <w:rPr>
                <w:rFonts w:ascii="仿宋_GB2312" w:hAnsi="仿宋" w:eastAsia="仿宋_GB2312"/>
                <w:color w:val="000000"/>
                <w:sz w:val="24"/>
              </w:rPr>
            </w:pPr>
            <w:r>
              <w:rPr>
                <w:rFonts w:hint="eastAsia" w:ascii="华文中宋" w:hAnsi="华文中宋" w:eastAsia="华文中宋" w:cs="华文中宋"/>
                <w:color w:val="000000"/>
                <w:sz w:val="28"/>
                <w:szCs w:val="28"/>
              </w:rPr>
              <w:t>新媒体作品填报网址</w:t>
            </w:r>
          </w:p>
        </w:tc>
        <w:tc>
          <w:tcPr>
            <w:tcW w:w="7113" w:type="dxa"/>
            <w:gridSpan w:val="6"/>
            <w:tcBorders>
              <w:top w:val="single" w:color="auto" w:sz="4" w:space="0"/>
              <w:left w:val="single" w:color="auto" w:sz="4" w:space="0"/>
              <w:bottom w:val="single" w:color="auto" w:sz="4" w:space="0"/>
              <w:right w:val="single" w:color="auto" w:sz="4" w:space="0"/>
            </w:tcBorders>
            <w:vAlign w:val="center"/>
          </w:tcPr>
          <w:p w14:paraId="38114F79">
            <w:pPr>
              <w:spacing w:line="260" w:lineRule="exact"/>
              <w:jc w:val="center"/>
              <w:rPr>
                <w:rFonts w:ascii="仿宋_GB2312" w:eastAsia="仿宋_GB2312" w:cs="仿宋_GB2312"/>
                <w:color w:val="000000"/>
                <w:szCs w:val="21"/>
              </w:rPr>
            </w:pPr>
            <w:r>
              <w:rPr>
                <w:rFonts w:hint="eastAsia" w:ascii="仿宋_GB2312" w:eastAsia="仿宋_GB2312" w:cs="仿宋_GB2312"/>
                <w:color w:val="000000"/>
                <w:szCs w:val="21"/>
              </w:rPr>
              <w:t>https://weixin.qq.com/sph/AcPWS1yvc</w:t>
            </w:r>
          </w:p>
        </w:tc>
      </w:tr>
      <w:tr w14:paraId="2E1CD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14" w:hRule="atLeast"/>
          <w:jc w:val="center"/>
        </w:trPr>
        <w:tc>
          <w:tcPr>
            <w:tcW w:w="1695" w:type="dxa"/>
            <w:tcBorders>
              <w:top w:val="single" w:color="auto" w:sz="4" w:space="0"/>
              <w:left w:val="single" w:color="auto" w:sz="4" w:space="0"/>
              <w:bottom w:val="single" w:color="auto" w:sz="4" w:space="0"/>
              <w:right w:val="single" w:color="auto" w:sz="4" w:space="0"/>
            </w:tcBorders>
            <w:vAlign w:val="center"/>
          </w:tcPr>
          <w:p w14:paraId="298D79A4">
            <w:pPr>
              <w:spacing w:line="32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 xml:space="preserve">  ︵</w:t>
            </w:r>
          </w:p>
          <w:p w14:paraId="3026D7EE">
            <w:pPr>
              <w:spacing w:line="32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作采</w:t>
            </w:r>
          </w:p>
          <w:p w14:paraId="199A8ABE">
            <w:pPr>
              <w:spacing w:line="32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品编</w:t>
            </w:r>
          </w:p>
          <w:p w14:paraId="1044C2AA">
            <w:pPr>
              <w:spacing w:line="32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简过</w:t>
            </w:r>
          </w:p>
          <w:p w14:paraId="403218F4">
            <w:pPr>
              <w:spacing w:line="32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介程</w:t>
            </w:r>
          </w:p>
          <w:p w14:paraId="35253E10">
            <w:pPr>
              <w:spacing w:line="32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 xml:space="preserve">  ︶</w:t>
            </w:r>
          </w:p>
        </w:tc>
        <w:tc>
          <w:tcPr>
            <w:tcW w:w="8245" w:type="dxa"/>
            <w:gridSpan w:val="7"/>
            <w:tcBorders>
              <w:top w:val="single" w:color="auto" w:sz="4" w:space="0"/>
              <w:left w:val="single" w:color="auto" w:sz="4" w:space="0"/>
              <w:bottom w:val="single" w:color="auto" w:sz="4" w:space="0"/>
              <w:right w:val="single" w:color="auto" w:sz="4" w:space="0"/>
            </w:tcBorders>
            <w:vAlign w:val="center"/>
          </w:tcPr>
          <w:p w14:paraId="03F3E7B4">
            <w:pPr>
              <w:spacing w:line="280" w:lineRule="exact"/>
              <w:ind w:firstLine="420" w:firstLineChars="200"/>
              <w:rPr>
                <w:rFonts w:ascii="仿宋" w:hAnsi="仿宋" w:eastAsia="仿宋"/>
                <w:color w:val="000000"/>
                <w:sz w:val="24"/>
              </w:rPr>
            </w:pPr>
            <w:r>
              <w:rPr>
                <w:rFonts w:ascii="仿宋_GB2312" w:hAnsi="仿宋" w:eastAsia="仿宋_GB2312" w:cs="仿宋_GB2312"/>
                <w:color w:val="000000"/>
                <w:szCs w:val="21"/>
              </w:rPr>
              <w:t>芒种时节，韶山冲的稻田里，一幅生机勃勃的农耕画卷徐徐展开。本</w:t>
            </w:r>
            <w:r>
              <w:rPr>
                <w:rFonts w:hint="eastAsia" w:ascii="仿宋_GB2312" w:hAnsi="仿宋" w:eastAsia="仿宋_GB2312" w:cs="仿宋_GB2312"/>
                <w:color w:val="000000"/>
                <w:szCs w:val="21"/>
              </w:rPr>
              <w:t>短视频</w:t>
            </w:r>
            <w:r>
              <w:rPr>
                <w:rFonts w:ascii="仿宋_GB2312" w:hAnsi="仿宋" w:eastAsia="仿宋_GB2312" w:cs="仿宋_GB2312"/>
                <w:color w:val="000000"/>
                <w:szCs w:val="21"/>
              </w:rPr>
              <w:t>以毛主席耕种过的示范田为载体，将非遗韶山山歌《插秧号子》与《七律·到韶山》诗词朗诵巧妙融合，谱写出一曲红色沃土的丰收赞歌。</w:t>
            </w:r>
            <w:r>
              <w:rPr>
                <w:rFonts w:hint="eastAsia" w:ascii="仿宋_GB2312" w:hAnsi="仿宋" w:eastAsia="仿宋_GB2312" w:cs="仿宋_GB2312"/>
                <w:color w:val="000000"/>
                <w:szCs w:val="21"/>
              </w:rPr>
              <w:t>作者深入一线，以第一人称视角亲身体验耕种的过程，用镜头捕捉秧苗入田的细腻瞬间，全方位展现插秧劳作的细节之美。同时，运用</w:t>
            </w:r>
            <w:r>
              <w:rPr>
                <w:rFonts w:ascii="仿宋_GB2312" w:hAnsi="仿宋" w:eastAsia="仿宋_GB2312" w:cs="仿宋_GB2312"/>
                <w:color w:val="000000"/>
                <w:szCs w:val="21"/>
              </w:rPr>
              <w:t>非遗韶山山歌《插秧号子》与《七律·到韶山》诗词朗诵</w:t>
            </w:r>
            <w:r>
              <w:rPr>
                <w:rFonts w:hint="eastAsia" w:ascii="仿宋_GB2312" w:hAnsi="仿宋" w:eastAsia="仿宋_GB2312" w:cs="仿宋_GB2312"/>
                <w:color w:val="000000"/>
                <w:szCs w:val="21"/>
              </w:rPr>
              <w:t>的现场音，让线上线下的观众通过视频内容，身临其境般感受韶山山歌与劳作的魅力。</w:t>
            </w:r>
          </w:p>
        </w:tc>
      </w:tr>
      <w:tr w14:paraId="00730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17" w:hRule="atLeast"/>
          <w:jc w:val="center"/>
        </w:trPr>
        <w:tc>
          <w:tcPr>
            <w:tcW w:w="1695" w:type="dxa"/>
            <w:tcBorders>
              <w:top w:val="single" w:color="auto" w:sz="4" w:space="0"/>
              <w:left w:val="single" w:color="auto" w:sz="4" w:space="0"/>
              <w:bottom w:val="single" w:color="auto" w:sz="4" w:space="0"/>
              <w:right w:val="single" w:color="auto" w:sz="4" w:space="0"/>
            </w:tcBorders>
            <w:vAlign w:val="center"/>
          </w:tcPr>
          <w:p w14:paraId="08D0B501">
            <w:pPr>
              <w:spacing w:line="32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社</w:t>
            </w:r>
          </w:p>
          <w:p w14:paraId="7B532C5C">
            <w:pPr>
              <w:spacing w:line="32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会</w:t>
            </w:r>
          </w:p>
          <w:p w14:paraId="3A30E80B">
            <w:pPr>
              <w:spacing w:line="32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效</w:t>
            </w:r>
          </w:p>
          <w:p w14:paraId="296F0DCE">
            <w:pPr>
              <w:spacing w:line="32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果</w:t>
            </w:r>
          </w:p>
        </w:tc>
        <w:tc>
          <w:tcPr>
            <w:tcW w:w="8245" w:type="dxa"/>
            <w:gridSpan w:val="7"/>
            <w:tcBorders>
              <w:top w:val="single" w:color="auto" w:sz="4" w:space="0"/>
              <w:left w:val="single" w:color="auto" w:sz="4" w:space="0"/>
              <w:bottom w:val="single" w:color="auto" w:sz="4" w:space="0"/>
              <w:right w:val="single" w:color="auto" w:sz="4" w:space="0"/>
            </w:tcBorders>
            <w:vAlign w:val="center"/>
          </w:tcPr>
          <w:p w14:paraId="4F953DDF">
            <w:pPr>
              <w:spacing w:line="280" w:lineRule="exact"/>
              <w:ind w:firstLine="420" w:firstLineChars="200"/>
              <w:rPr>
                <w:rFonts w:ascii="仿宋" w:hAnsi="仿宋" w:eastAsia="仿宋"/>
                <w:color w:val="000000"/>
                <w:sz w:val="24"/>
              </w:rPr>
            </w:pPr>
            <w:r>
              <w:rPr>
                <w:rFonts w:hint="eastAsia" w:ascii="仿宋_GB2312" w:eastAsia="仿宋_GB2312" w:cs="仿宋_GB2312"/>
                <w:color w:val="000000"/>
                <w:szCs w:val="21"/>
              </w:rPr>
              <w:t>芒种时节韶山冲插秧的画面生动诠释了劳动之美和当地百姓对这片土地深沉的热爱，非遗韶山山歌《插秧号子》与《七律·到韶山》诗词的结合，让这件作品更具感染力和文化底蕴。视频发布后，迅速在韶山融媒视频号、抖音号上掀起热潮。网友们纷纷点赞、评论、转发和留言，留言区满是对视频内容的喜爱与对韶山的向往。不少网友表示，看了视频后被韶山的农耕氛围深深感染，内心涌起一股冲动，想前往韶山参与插秧劳作，不仅是为了体验农事的乐趣，更是希望在这片红色沃土上，近距离感受与毛主席相关的生活印记，表达对毛主席深深的怀念之情。其热烈反响不仅体现了作品内容的吸引力，也展现出韶山独特的文化魅力与深厚的红色底蕴对大众的强大感召。</w:t>
            </w:r>
          </w:p>
        </w:tc>
      </w:tr>
      <w:tr w14:paraId="39ECB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30" w:hRule="atLeast"/>
          <w:jc w:val="center"/>
        </w:trPr>
        <w:tc>
          <w:tcPr>
            <w:tcW w:w="1695" w:type="dxa"/>
            <w:tcBorders>
              <w:top w:val="single" w:color="auto" w:sz="4" w:space="0"/>
              <w:left w:val="single" w:color="auto" w:sz="4" w:space="0"/>
              <w:bottom w:val="single" w:color="auto" w:sz="4" w:space="0"/>
              <w:right w:val="single" w:color="auto" w:sz="4" w:space="0"/>
            </w:tcBorders>
            <w:vAlign w:val="center"/>
          </w:tcPr>
          <w:p w14:paraId="330F098A">
            <w:pPr>
              <w:spacing w:line="32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 xml:space="preserve">  ︵</w:t>
            </w:r>
          </w:p>
          <w:p w14:paraId="43229B26">
            <w:pPr>
              <w:spacing w:line="32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初推</w:t>
            </w:r>
          </w:p>
          <w:p w14:paraId="1FC6B7C4">
            <w:pPr>
              <w:spacing w:line="32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评荐</w:t>
            </w:r>
          </w:p>
          <w:p w14:paraId="752B38CC">
            <w:pPr>
              <w:spacing w:line="32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评理</w:t>
            </w:r>
          </w:p>
          <w:p w14:paraId="3800B402">
            <w:pPr>
              <w:spacing w:line="32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语由</w:t>
            </w:r>
          </w:p>
          <w:p w14:paraId="590AB10A">
            <w:pPr>
              <w:spacing w:line="32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 xml:space="preserve">  ︶</w:t>
            </w:r>
          </w:p>
        </w:tc>
        <w:tc>
          <w:tcPr>
            <w:tcW w:w="8245" w:type="dxa"/>
            <w:gridSpan w:val="7"/>
            <w:tcBorders>
              <w:top w:val="single" w:color="auto" w:sz="4" w:space="0"/>
              <w:left w:val="single" w:color="auto" w:sz="4" w:space="0"/>
              <w:bottom w:val="single" w:color="auto" w:sz="4" w:space="0"/>
              <w:right w:val="single" w:color="auto" w:sz="4" w:space="0"/>
            </w:tcBorders>
            <w:vAlign w:val="center"/>
          </w:tcPr>
          <w:p w14:paraId="3F006AE7">
            <w:pPr>
              <w:spacing w:line="320" w:lineRule="exact"/>
              <w:ind w:firstLine="420" w:firstLineChars="200"/>
              <w:rPr>
                <w:rFonts w:ascii="华文中宋" w:hAnsi="华文中宋" w:eastAsia="华文中宋"/>
                <w:color w:val="000000"/>
                <w:sz w:val="28"/>
                <w:szCs w:val="28"/>
              </w:rPr>
            </w:pPr>
            <w:r>
              <w:rPr>
                <w:rFonts w:ascii="仿宋_GB2312" w:eastAsia="仿宋_GB2312" w:cs="仿宋_GB2312"/>
                <w:color w:val="000000"/>
                <w:szCs w:val="21"/>
              </w:rPr>
              <w:t>该作品贴近民生</w:t>
            </w:r>
            <w:r>
              <w:rPr>
                <w:rFonts w:hint="eastAsia" w:ascii="仿宋_GB2312" w:eastAsia="仿宋_GB2312" w:cs="仿宋_GB2312"/>
                <w:color w:val="000000"/>
                <w:szCs w:val="21"/>
              </w:rPr>
              <w:t>，</w:t>
            </w:r>
            <w:r>
              <w:rPr>
                <w:rFonts w:ascii="仿宋_GB2312" w:eastAsia="仿宋_GB2312" w:cs="仿宋_GB2312"/>
                <w:color w:val="000000"/>
                <w:szCs w:val="21"/>
              </w:rPr>
              <w:t>巧妙融合非遗文化与农耕场景，新闻的贴近性和可读性</w:t>
            </w:r>
            <w:r>
              <w:rPr>
                <w:rFonts w:hint="eastAsia" w:ascii="仿宋_GB2312" w:eastAsia="仿宋_GB2312" w:cs="仿宋_GB2312"/>
                <w:color w:val="000000"/>
                <w:szCs w:val="21"/>
              </w:rPr>
              <w:t>强。通过</w:t>
            </w:r>
            <w:r>
              <w:rPr>
                <w:rFonts w:ascii="仿宋_GB2312" w:eastAsia="仿宋_GB2312" w:cs="仿宋_GB2312"/>
                <w:color w:val="000000"/>
                <w:szCs w:val="21"/>
              </w:rPr>
              <w:t>创新表达</w:t>
            </w:r>
            <w:r>
              <w:rPr>
                <w:rFonts w:hint="eastAsia" w:ascii="仿宋_GB2312" w:eastAsia="仿宋_GB2312" w:cs="仿宋_GB2312"/>
                <w:color w:val="000000"/>
                <w:szCs w:val="21"/>
              </w:rPr>
              <w:t>，</w:t>
            </w:r>
            <w:r>
              <w:rPr>
                <w:rFonts w:ascii="仿宋_GB2312" w:eastAsia="仿宋_GB2312" w:cs="仿宋_GB2312"/>
                <w:color w:val="000000"/>
                <w:szCs w:val="21"/>
              </w:rPr>
              <w:t>将传统农耕文化与现代新闻传播方式相结合，富有感染力和时代感</w:t>
            </w:r>
            <w:r>
              <w:rPr>
                <w:rFonts w:hint="eastAsia" w:ascii="仿宋_GB2312" w:eastAsia="仿宋_GB2312" w:cs="仿宋_GB2312"/>
                <w:color w:val="000000"/>
                <w:szCs w:val="21"/>
              </w:rPr>
              <w:t>，有</w:t>
            </w:r>
            <w:r>
              <w:rPr>
                <w:rFonts w:ascii="仿宋_GB2312" w:eastAsia="仿宋_GB2312" w:cs="仿宋_GB2312"/>
                <w:color w:val="000000"/>
                <w:szCs w:val="21"/>
              </w:rPr>
              <w:t>较高的新闻价值和艺术价值，</w:t>
            </w:r>
            <w:r>
              <w:rPr>
                <w:rFonts w:hint="eastAsia" w:ascii="仿宋_GB2312" w:eastAsia="仿宋_GB2312" w:cs="仿宋_GB2312"/>
                <w:color w:val="000000"/>
                <w:szCs w:val="21"/>
              </w:rPr>
              <w:t>推荐</w:t>
            </w:r>
            <w:r>
              <w:rPr>
                <w:rFonts w:ascii="仿宋_GB2312" w:eastAsia="仿宋_GB2312" w:cs="仿宋_GB2312"/>
                <w:color w:val="000000"/>
                <w:szCs w:val="21"/>
              </w:rPr>
              <w:t>参评</w:t>
            </w:r>
            <w:r>
              <w:rPr>
                <w:rFonts w:hint="eastAsia" w:ascii="仿宋_GB2312" w:eastAsia="仿宋_GB2312" w:cs="仿宋_GB2312"/>
                <w:color w:val="000000"/>
                <w:szCs w:val="21"/>
              </w:rPr>
              <w:t>。</w:t>
            </w:r>
          </w:p>
          <w:p w14:paraId="6F6368C8">
            <w:pPr>
              <w:spacing w:line="320" w:lineRule="exact"/>
              <w:ind w:left="3360" w:leftChars="1600"/>
              <w:jc w:val="center"/>
              <w:rPr>
                <w:rFonts w:ascii="华文中宋" w:hAnsi="华文中宋" w:eastAsia="华文中宋" w:cs="华文中宋"/>
                <w:color w:val="000000"/>
                <w:sz w:val="24"/>
              </w:rPr>
            </w:pPr>
          </w:p>
          <w:p w14:paraId="085A6608">
            <w:pPr>
              <w:spacing w:line="320" w:lineRule="exact"/>
              <w:ind w:left="3360" w:leftChars="1600"/>
              <w:jc w:val="center"/>
              <w:rPr>
                <w:rFonts w:hint="eastAsia" w:ascii="华文中宋" w:hAnsi="华文中宋" w:eastAsia="华文中宋" w:cs="华文中宋"/>
                <w:color w:val="000000"/>
                <w:sz w:val="24"/>
              </w:rPr>
            </w:pPr>
            <w:r>
              <w:rPr>
                <w:rFonts w:hint="eastAsia" w:ascii="华文中宋" w:hAnsi="华文中宋" w:eastAsia="华文中宋" w:cs="华文中宋"/>
                <w:color w:val="000000"/>
                <w:sz w:val="24"/>
              </w:rPr>
              <w:t>签名：（盖单位公章）</w:t>
            </w:r>
          </w:p>
          <w:p w14:paraId="5949B49C">
            <w:pPr>
              <w:spacing w:line="320" w:lineRule="exact"/>
              <w:ind w:left="3360" w:leftChars="1600"/>
              <w:jc w:val="center"/>
              <w:rPr>
                <w:rFonts w:ascii="仿宋" w:hAnsi="仿宋" w:eastAsia="仿宋"/>
                <w:color w:val="000000"/>
                <w:sz w:val="24"/>
              </w:rPr>
            </w:pPr>
            <w:r>
              <w:rPr>
                <w:rFonts w:hint="eastAsia" w:ascii="华文中宋" w:hAnsi="华文中宋" w:eastAsia="华文中宋"/>
                <w:color w:val="000000"/>
                <w:sz w:val="24"/>
              </w:rPr>
              <w:t>20</w:t>
            </w:r>
            <w:r>
              <w:rPr>
                <w:rFonts w:hint="eastAsia" w:ascii="华文中宋" w:hAnsi="华文中宋" w:eastAsia="华文中宋" w:cs="华文中宋"/>
                <w:color w:val="000000"/>
                <w:sz w:val="24"/>
              </w:rPr>
              <w:t>25年</w:t>
            </w:r>
            <w:r>
              <w:rPr>
                <w:rFonts w:hint="eastAsia" w:ascii="华文中宋" w:hAnsi="华文中宋" w:eastAsia="华文中宋"/>
                <w:color w:val="000000"/>
                <w:sz w:val="24"/>
              </w:rPr>
              <w:t>2</w:t>
            </w:r>
            <w:r>
              <w:rPr>
                <w:rFonts w:hint="eastAsia" w:ascii="华文中宋" w:hAnsi="华文中宋" w:eastAsia="华文中宋" w:cs="华文中宋"/>
                <w:color w:val="000000"/>
                <w:sz w:val="24"/>
              </w:rPr>
              <w:t>月</w:t>
            </w:r>
            <w:r>
              <w:rPr>
                <w:rFonts w:hint="eastAsia" w:ascii="华文中宋" w:hAnsi="华文中宋" w:eastAsia="华文中宋"/>
                <w:color w:val="000000"/>
                <w:sz w:val="24"/>
              </w:rPr>
              <w:t>20</w:t>
            </w:r>
            <w:r>
              <w:rPr>
                <w:rFonts w:hint="eastAsia" w:ascii="华文中宋" w:hAnsi="华文中宋" w:eastAsia="华文中宋" w:cs="华文中宋"/>
                <w:color w:val="000000"/>
                <w:sz w:val="24"/>
              </w:rPr>
              <w:t>日</w:t>
            </w:r>
          </w:p>
        </w:tc>
      </w:tr>
      <w:tr w14:paraId="6B397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7" w:hRule="atLeast"/>
          <w:jc w:val="center"/>
        </w:trPr>
        <w:tc>
          <w:tcPr>
            <w:tcW w:w="1695" w:type="dxa"/>
            <w:tcBorders>
              <w:top w:val="single" w:color="auto" w:sz="4" w:space="0"/>
              <w:left w:val="single" w:color="auto" w:sz="4" w:space="0"/>
              <w:bottom w:val="single" w:color="auto" w:sz="4" w:space="0"/>
              <w:right w:val="single" w:color="auto" w:sz="4" w:space="0"/>
            </w:tcBorders>
            <w:vAlign w:val="center"/>
          </w:tcPr>
          <w:p w14:paraId="00A57306">
            <w:pPr>
              <w:spacing w:line="320" w:lineRule="exact"/>
              <w:jc w:val="center"/>
              <w:rPr>
                <w:rFonts w:ascii="华文中宋" w:hAnsi="华文中宋" w:eastAsia="华文中宋" w:cs="华文中宋"/>
                <w:color w:val="000000"/>
                <w:sz w:val="28"/>
                <w:szCs w:val="28"/>
              </w:rPr>
            </w:pPr>
            <w:r>
              <w:rPr>
                <w:rFonts w:hint="eastAsia" w:ascii="华文中宋" w:hAnsi="华文中宋" w:eastAsia="华文中宋" w:cs="华文中宋"/>
                <w:color w:val="000000"/>
                <w:sz w:val="28"/>
                <w:szCs w:val="28"/>
              </w:rPr>
              <w:t>联系人</w:t>
            </w:r>
          </w:p>
          <w:p w14:paraId="30D7E0FF">
            <w:pPr>
              <w:spacing w:line="32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（作者）</w:t>
            </w:r>
          </w:p>
        </w:tc>
        <w:tc>
          <w:tcPr>
            <w:tcW w:w="2712" w:type="dxa"/>
            <w:gridSpan w:val="3"/>
            <w:tcBorders>
              <w:top w:val="single" w:color="auto" w:sz="4" w:space="0"/>
              <w:left w:val="single" w:color="auto" w:sz="4" w:space="0"/>
              <w:bottom w:val="single" w:color="auto" w:sz="4" w:space="0"/>
              <w:right w:val="single" w:color="auto" w:sz="4" w:space="0"/>
            </w:tcBorders>
            <w:vAlign w:val="center"/>
          </w:tcPr>
          <w:p w14:paraId="15940B7C">
            <w:pPr>
              <w:spacing w:line="220" w:lineRule="exact"/>
              <w:jc w:val="center"/>
              <w:rPr>
                <w:rFonts w:ascii="仿宋_GB2312" w:hAnsi="仿宋" w:eastAsia="仿宋_GB2312" w:cs="仿宋_GB2312"/>
                <w:color w:val="000000"/>
                <w:szCs w:val="21"/>
              </w:rPr>
            </w:pPr>
            <w:r>
              <w:rPr>
                <w:rFonts w:hint="eastAsia" w:ascii="仿宋_GB2312" w:hAnsi="仿宋" w:eastAsia="仿宋_GB2312" w:cs="仿宋_GB2312"/>
                <w:color w:val="000000"/>
                <w:szCs w:val="21"/>
              </w:rPr>
              <w:t>谢茂丰</w:t>
            </w:r>
          </w:p>
        </w:tc>
        <w:tc>
          <w:tcPr>
            <w:tcW w:w="1137" w:type="dxa"/>
            <w:gridSpan w:val="2"/>
            <w:tcBorders>
              <w:top w:val="single" w:color="auto" w:sz="4" w:space="0"/>
              <w:left w:val="single" w:color="auto" w:sz="4" w:space="0"/>
              <w:bottom w:val="single" w:color="auto" w:sz="4" w:space="0"/>
              <w:right w:val="single" w:color="auto" w:sz="4" w:space="0"/>
            </w:tcBorders>
            <w:vAlign w:val="center"/>
          </w:tcPr>
          <w:p w14:paraId="28B9BFCE">
            <w:pPr>
              <w:spacing w:line="32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手机</w:t>
            </w:r>
          </w:p>
        </w:tc>
        <w:tc>
          <w:tcPr>
            <w:tcW w:w="4396" w:type="dxa"/>
            <w:gridSpan w:val="2"/>
            <w:tcBorders>
              <w:top w:val="single" w:color="auto" w:sz="4" w:space="0"/>
              <w:left w:val="single" w:color="auto" w:sz="4" w:space="0"/>
              <w:bottom w:val="single" w:color="auto" w:sz="4" w:space="0"/>
              <w:right w:val="single" w:color="auto" w:sz="4" w:space="0"/>
            </w:tcBorders>
            <w:vAlign w:val="center"/>
          </w:tcPr>
          <w:p w14:paraId="0178D1D2">
            <w:pPr>
              <w:spacing w:line="220" w:lineRule="exact"/>
              <w:jc w:val="center"/>
              <w:rPr>
                <w:rFonts w:ascii="仿宋_GB2312" w:hAnsi="仿宋" w:eastAsia="仿宋_GB2312" w:cs="仿宋_GB2312"/>
                <w:color w:val="000000"/>
                <w:szCs w:val="21"/>
              </w:rPr>
            </w:pPr>
            <w:r>
              <w:rPr>
                <w:rFonts w:hint="eastAsia" w:ascii="仿宋_GB2312" w:hAnsi="仿宋" w:eastAsia="仿宋_GB2312" w:cs="仿宋_GB2312"/>
                <w:color w:val="000000"/>
                <w:szCs w:val="21"/>
              </w:rPr>
              <w:t>16670702680</w:t>
            </w:r>
          </w:p>
        </w:tc>
      </w:tr>
    </w:tbl>
    <w:p w14:paraId="758CA03C"/>
    <w:p w14:paraId="06385741">
      <w:pPr>
        <w:jc w:val="center"/>
        <w:rPr>
          <w:rFonts w:hint="eastAsia" w:eastAsia="宋体"/>
          <w:lang w:eastAsia="zh-CN"/>
        </w:rPr>
      </w:pPr>
      <w:r>
        <w:rPr>
          <w:rFonts w:hint="eastAsia" w:eastAsia="宋体"/>
          <w:lang w:eastAsia="zh-CN"/>
        </w:rPr>
        <w:drawing>
          <wp:inline distT="0" distB="0" distL="114300" distR="114300">
            <wp:extent cx="5266690" cy="6209030"/>
            <wp:effectExtent l="0" t="0" r="6350" b="8890"/>
            <wp:docPr id="1" name="图片 1" descr="ad023d1f3556bbb4dd9a07d8cb9f4a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d023d1f3556bbb4dd9a07d8cb9f4a5"/>
                    <pic:cNvPicPr>
                      <a:picLocks noChangeAspect="1"/>
                    </pic:cNvPicPr>
                  </pic:nvPicPr>
                  <pic:blipFill>
                    <a:blip r:embed="rId4"/>
                    <a:stretch>
                      <a:fillRect/>
                    </a:stretch>
                  </pic:blipFill>
                  <pic:spPr>
                    <a:xfrm>
                      <a:off x="0" y="0"/>
                      <a:ext cx="5266690" cy="6209030"/>
                    </a:xfrm>
                    <a:prstGeom prst="rect">
                      <a:avLst/>
                    </a:prstGeom>
                  </pic:spPr>
                </pic:pic>
              </a:graphicData>
            </a:graphic>
          </wp:inline>
        </w:drawing>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227D57"/>
    <w:rsid w:val="001A5BBF"/>
    <w:rsid w:val="00227D57"/>
    <w:rsid w:val="00464AB0"/>
    <w:rsid w:val="004815EB"/>
    <w:rsid w:val="005B67AC"/>
    <w:rsid w:val="005E0E4A"/>
    <w:rsid w:val="00B83F10"/>
    <w:rsid w:val="00C947FE"/>
    <w:rsid w:val="00C958F8"/>
    <w:rsid w:val="00EA4A2E"/>
    <w:rsid w:val="08F57ACE"/>
    <w:rsid w:val="134F0723"/>
    <w:rsid w:val="286A317E"/>
    <w:rsid w:val="312F37EE"/>
    <w:rsid w:val="3CDE18A3"/>
    <w:rsid w:val="49995C78"/>
    <w:rsid w:val="4ED628D6"/>
    <w:rsid w:val="5139389D"/>
    <w:rsid w:val="58354DBE"/>
    <w:rsid w:val="5B8E2354"/>
    <w:rsid w:val="5E7B4F3E"/>
    <w:rsid w:val="63A61EE5"/>
    <w:rsid w:val="720D0D73"/>
    <w:rsid w:val="7D713CB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0"/>
    <w:rPr>
      <w:kern w:val="2"/>
      <w:sz w:val="18"/>
      <w:szCs w:val="18"/>
    </w:rPr>
  </w:style>
  <w:style w:type="character" w:customStyle="1" w:styleId="7">
    <w:name w:val="页脚 Char"/>
    <w:basedOn w:val="5"/>
    <w:link w:val="2"/>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809</Words>
  <Characters>861</Characters>
  <Lines>7</Lines>
  <Paragraphs>1</Paragraphs>
  <TotalTime>18</TotalTime>
  <ScaleCrop>false</ScaleCrop>
  <LinksUpToDate>false</LinksUpToDate>
  <CharactersWithSpaces>873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2025-02-18T09:28:00Z</dcterms:created>
  <dc:creator>谢 谢·</dc:creator>
  <cp:lastModifiedBy>绿色的草地</cp:lastModifiedBy>
  <dcterms:modified xsi:type="dcterms:W3CDTF">2025-02-21T07:28:29Z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76842CFC475D4EC7A5377CAFAF935493_13</vt:lpwstr>
  </property>
  <property fmtid="{D5CDD505-2E9C-101B-9397-08002B2CF9AE}" pid="4" name="KSOTemplateDocerSaveRecord">
    <vt:lpwstr>eyJoZGlkIjoiMWM1OTMwMmMwZmNhNDc3NmExM2U2OTdmNmNjNDJhNmQiLCJ1c2VySWQiOiI0NDg3ODk5MzUifQ==</vt:lpwstr>
  </property>
</Properties>
</file>